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104 BbgKJG (Brandenburg) — Sachliche Zuständigkeit der obersten Landesjugendbehörde und des überörtlichen Trägers der Jugendhilfe</w:t>
      </w:r>
    </w:p>
    <w:p>
      <w:r>
        <w:rPr>
          <w:color w:val="555555"/>
          <w:sz w:val="18"/>
        </w:rPr>
        <w:t xml:space="preserve">Brandenburgisches Kinder- und Jugendgesetz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sachliche Zuständigkeit der obersten Landesjugendbehörde und des überörtlichen Trägers der Jugendhilfe ergibt sich aus § 85 Absatz 2 des Achten Buches Sozialgesetzbuch, soweit die Bekanntmachung der Geschäftsbereiche der obersten Landesbehörden keine abweichenden Zuständigkeiten bestimmt.</w:t>
      </w:r>
    </w:p>
    <w:p>
      <w:r>
        <w:t xml:space="preserve">(2) Ergibt sich aus Gesetzen, Rechtsverordnungen oder Verwaltungsvorschriften, dass für eine Aufgabe, die nicht im Achten Buch Sozialgesetzbuch geregelt ist, ein Träger der öffentlichen Jugendhilfe zuständig ist, gilt Absatz 1 entsprechend.</w:t>
      </w:r>
    </w:p>
    <w:p>
      <w:r>
        <w:t xml:space="preserve">(3) Aufgaben, für die nach dem Achten Buch Sozialgesetzbuch der überörtliche Träger der Jugendhilfe sachlich zuständig ist, sind funktional als solche nach außen zu kennzeichnen. Eine organisatorische Trennung ist nicht erforderlich.</w:t>
      </w:r>
    </w:p>
    <w:p>
      <w:r>
        <w:rPr>
          <w:color w:val="555555"/>
          <w:sz w:val="17"/>
        </w:rPr>
        <w:t xml:space="preserve">Zitiervorschlag: § 104 BbgKJG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https://recht.nulegal.eu/gesetze/BbgKJG/104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