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BbgKJG (Brandenburg) — Mehrbelastungsausgleich für Beratungen nach den §§ 8 und 9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Das Land erstattet die Mehraufwendungen, die ein örtlicher Träger der öffentlichen Jugendhilfe durch Beratungen nach §§ 8 und 9 hat. Es sind die konkret nachgewiesenen angemessenen Mehrbelastungen für Beratungen unter Beachtung von § 79a Satz 3 des Achten Buches Sozialgesetzbuch zu erstatten. Der örtliche Träger der öffentlichen Jugendhilfe hat nachzuweisen, dass er diese Beratungen nicht bereits vor dem 10. Juni 2021 hätte erbringen müssen.</w:t>
      </w:r>
    </w:p>
    <w:p>
      <w:r>
        <w:rPr>
          <w:color w:val="555555"/>
          <w:sz w:val="17"/>
        </w:rPr>
        <w:t xml:space="preserve">Zitiervorschlag: § 10 BbgKJG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