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BbgKJG-MBAV (Brandenburg) — Prüfung des Antrages und Ausgleich der Mehrbelastungen</w:t>
      </w:r>
    </w:p>
    <w:p>
      <w:r>
        <w:rPr>
          <w:color w:val="555555"/>
          <w:sz w:val="18"/>
        </w:rPr>
        <w:t xml:space="preserve">Brandenburgische Kinder- und Jugendgesetz-Mehrbelastungsausgleichsverordnung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Über den Anspruch auf Mehrbelastungsausgleich soll binnen sechs Monaten nach Eingang des vollständigen Antrages entschieden werden.</w:t>
      </w:r>
    </w:p>
    <w:p>
      <w:r>
        <w:t xml:space="preserve">(2) Auf Anforderung des nach § 103 Absatz 2 Satz 2 des Brandenburgischen Kinder- und Jugendgesetzes zuständigen Ministeriums hat der örtliche Träger der öffentlichen Jugendhilfe aufgrund von außergewöhnlich hohen Beträgen, Tiefenprüfungen oder offensichtlichen Auffälligkeiten im Einzelfall ergänzende antragsbegründende Unterlagen vorzulegen.</w:t>
      </w:r>
    </w:p>
    <w:p>
      <w:r>
        <w:t xml:space="preserve">(3) Für den Mehrbelastungsausgleich nach dieser Verordnung wird jeweils ein Bescheid erteilt, der alle mehrbelastungsausgleichspflichtigen Aufgaben erfasst und eine Gesamtsumme für den Mehrbelastungsausgleich ausweist.</w:t>
      </w:r>
    </w:p>
    <w:p>
      <w:r>
        <w:rPr>
          <w:color w:val="555555"/>
          <w:sz w:val="17"/>
        </w:rPr>
        <w:t xml:space="preserve">Zitiervorschlag: § 9 BbgKJG-MBAV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https://recht.nulegal.eu/gesetze/BbgKJG-MBAV/9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