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BbgKJG-MBAV (Brandenburg) — Ausgleichspflichtige Mehrbelastungen</w:t>
      </w:r>
    </w:p>
    <w:p>
      <w:r>
        <w:rPr>
          <w:color w:val="555555"/>
          <w:sz w:val="18"/>
        </w:rPr>
        <w:t xml:space="preserve">Brandenburgische Kinder- und Jugendgesetz-Mehrbelastungsausgleichsverordnung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Ein Mehrbelastungsausgleich findet statt, wenn durch oder aufgrund der Änderung oder Ergänzung des Bundes- oder Landesrechts</w:t>
      </w:r>
    </w:p>
    <w:p>
      <w:r>
        <w:t xml:space="preserve">Aufgaben, für die die örtlichen Träger der öffentlichen Jugendhilfe zuständig sind, neu oder zusätzlich entstanden sind oder</w:t>
      </w:r>
    </w:p>
    <w:p>
      <w:r>
        <w:t xml:space="preserve">die Standards zur Wahrnehmung einer den örtlichen Trägern der öffentlichen Jugendhilfe obliegenden Aufgabe angehoben werden.</w:t>
      </w:r>
    </w:p>
    <w:p>
      <w:r>
        <w:t xml:space="preserve">(2) Ausgleichspflichtige Mehrbelastungen sind solche, die unmittelbar durch oder aufgrund einer Änderung oder Ergänzung des Bundes- oder Landesrechts den örtlichen Trägern der öffentlichen Jugendhilfe innerhalb ihrer Verwaltungen entstehen.</w:t>
      </w:r>
    </w:p>
    <w:p>
      <w:r>
        <w:t xml:space="preserve">(3) Ausgleichspflichtige Mehrbelastungen sind auch die durch die Änderung oder Ergänzung des Bundes- oder Landesrechts entstandenen, konkret nachgewiesenen, angemessenen finanziellen Mehraufwendungen der örtlichen Träger der öffentlichen Jugendhilfe, um die Aufgabenwahrnehmung durch Dritte zu gewährleisten.</w:t>
      </w:r>
    </w:p>
    <w:p>
      <w:r>
        <w:t xml:space="preserve">(4) Eine auszugleichende Mehrbelastung liegt vor, wenn</w:t>
      </w:r>
    </w:p>
    <w:p>
      <w:r>
        <w:t xml:space="preserve">die Zahl der Leistungsberechtigten durch oder aufgrund Änderung oder Ergänzung des Bundes- oder Landesrechts ausgeweitet wird oder</w:t>
      </w:r>
    </w:p>
    <w:p>
      <w:r>
        <w:t xml:space="preserve">infolge der Änderung oder Ergänzung von Bundes- und Landesrecht, die nicht unmittelbar Aufgaben der örtlichen Träger der öffentlichen Jugendhilfe betrifft, die Fallzahlen steigen oder</w:t>
      </w:r>
    </w:p>
    <w:p>
      <w:r>
        <w:t xml:space="preserve">infolge der Änderung oder Ergänzung von Bundes- und Landesrecht der Erfüllungsaufwand der Aufgabe durch Erhöhung qualitativer Standards steigt.</w:t>
      </w:r>
    </w:p>
    <w:p>
      <w:r>
        <w:t xml:space="preserve">(5) Die Beantragung des Mehrbelastungsausgleichs nach dieser Verordnung und seine Abrechnung sind mehrbelastungsausgleichsfähig.</w:t>
      </w:r>
    </w:p>
    <w:p>
      <w:r>
        <w:rPr>
          <w:color w:val="555555"/>
          <w:sz w:val="17"/>
        </w:rPr>
        <w:t xml:space="preserve">Zitiervorschlag: § 3 BbgKJG-MBAV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https://recht.nulegal.eu/gesetze/BbgKJG-MBAV/3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BbgKJG-MBAV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