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BbgKJG-MBAV (Brandenburg) — Begriffsbestimmungen</w:t>
      </w:r>
    </w:p>
    <w:p>
      <w:r>
        <w:rPr>
          <w:color w:val="555555"/>
          <w:sz w:val="18"/>
        </w:rPr>
        <w:t xml:space="preserve">Brandenburgische Kinder- und Jugendgesetz-Mehrbelastungsausgleichsverordnung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Als Aufgaben im Sinne dieser Verordnung gelten alle Verpflichtungen zum Tätigwerden, für die die örtlichen Träger der öffentlichen Jugendhilfe im Sinne des § 124 Absatz 1 des Brandenburgischen Kinder- und Jugendgesetzes zuständig sind. Es ist unerheblich, ob die örtlichen Träger der öffentlichen Jugendhilfe selbst tätig werden müssen oder ob sie nur die Aufgabenwahrnehmung zu gewährleisten haben.</w:t>
      </w:r>
    </w:p>
    <w:p>
      <w:r>
        <w:t xml:space="preserve">(2) Als Verwaltungskosten im Sinne dieser Verordnung gelten alle Personal-, Sach- und Gemeinkosten, die dem örtlichen Träger der öffentlichen Jugendhilfe entstehen.</w:t>
      </w:r>
    </w:p>
    <w:p>
      <w:r>
        <w:rPr>
          <w:color w:val="555555"/>
          <w:sz w:val="17"/>
        </w:rPr>
        <w:t xml:space="preserve">Zitiervorschlag: § 2 BbgKJG-MBAV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https://recht.nulegal.eu/gesetze/BbgKJG-MBAV/2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