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BbgKJG-MBAV (Brandenburg) — Inkrafttreten, Außerkrafttreten</w:t>
      </w:r>
    </w:p>
    <w:p>
      <w:r>
        <w:rPr>
          <w:color w:val="555555"/>
          <w:sz w:val="18"/>
        </w:rPr>
        <w:t xml:space="preserve">Brandenburgische Kinder- und Jugendgesetz-Mehrbelastungsausgleichsverordnung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1. Juni 2026 in Kraft.</w:t>
      </w:r>
    </w:p>
    <w:p>
      <w:r>
        <w:t xml:space="preserve">(2) Diese Verordnung findet rückwirkend, ab dem Inkrafttreten des Kinder- und Jugendstärkungsgesetzes am 10. Juni 2021, auf alle durch das Land gemäß § 10 geleisteten Abschlagszahlungen Anwendung.</w:t>
      </w:r>
    </w:p>
    <w:p>
      <w:r>
        <w:t xml:space="preserve">(3) Gleichzeitig tritt die UmA-Mehrbelastungsausgleichsverordnung vom 1. März 2021 (GVBl. II Nr. 22) außer Kraft, mit Ausnahme des Abrechnungszeitraums bis einschließlich 31. Mai 2026, für welchen sie nach Inkrafttreten dieser Verordnung weiter gilt.</w:t>
      </w:r>
    </w:p>
    <w:p>
      <w:r>
        <w:t xml:space="preserve">Potsdam, den 28. Mai 2026</w:t>
      </w:r>
    </w:p>
    <w:p>
      <w:r>
        <w:t xml:space="preserve">Der Minister für Bildung, Jugend und Sport</w:t>
      </w:r>
    </w:p>
    <w:p>
      <w:r>
        <w:t xml:space="preserve">Gordon Hoffmann</w:t>
      </w:r>
    </w:p>
    <w:p>
      <w:r>
        <w:rPr>
          <w:color w:val="555555"/>
          <w:sz w:val="17"/>
        </w:rPr>
        <w:t xml:space="preserve">Zitiervorschlag: § 11 BbgKJG-MBAV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https://recht.nulegal.eu/gesetze/BbgKJG-MBAV/11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