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BbgKJG-MBAV (Brandenburg) — Anwendungsbereich</w:t>
      </w:r>
    </w:p>
    <w:p>
      <w:r>
        <w:rPr>
          <w:color w:val="555555"/>
          <w:sz w:val="18"/>
        </w:rPr>
        <w:t xml:space="preserve">Brandenburgische Kinder- und Jugendgesetz-Mehrbelastungsausgleichsverordnung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den Mehrbelastungsausgleich, den die Landkreise und kreisfreien Städte als örtliche Träger der öffentlichen Jugendhilfe nach § 149 Absatz 1 bis 4 des Brandenburgischen Kinder- und Jugendgesetzes erhalten.</w:t>
      </w:r>
    </w:p>
    <w:p>
      <w:r>
        <w:t xml:space="preserve">(2) Diese Verordnung gilt nicht für den Mehrbelastungsausgleich für Aufgaben, die im Kindertagesstättengesetz oder zur Förderung von Kindern in Tageseinrichtungen oder in der Kindertagespflege im Achten Buch Sozialgesetzbuch geregelt sind.</w:t>
      </w:r>
    </w:p>
    <w:p>
      <w:r>
        <w:t xml:space="preserve">(3) Der Mehrbelastungsausgleich nach der Bundeskinderschutzgesetz-Mehrbelastungsausgleichsverordnung vom 18. Dezember 2020 ( GVBl. II Nr. 125) bleibt unberührt.</w:t>
      </w:r>
    </w:p>
    <w:p>
      <w:r>
        <w:rPr>
          <w:color w:val="555555"/>
          <w:sz w:val="17"/>
        </w:rPr>
        <w:t xml:space="preserve">Zitiervorschlag: § 1 BbgKJG-MBAV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https://recht.nulegal.eu/gesetze/BbgKJG-MBAV/1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