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BbgKHTFZV (Brandenburg) — Inkrafttreten</w:t>
      </w:r>
    </w:p>
    <w:p>
      <w:r>
        <w:rPr>
          <w:color w:val="555555"/>
          <w:sz w:val="18"/>
        </w:rPr>
        <w:t xml:space="preserve">Brandenburgische Krankenhaustransformationsfonds-Zuständigkeitsverordnung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2026 in Kraft.</w:t>
      </w:r>
    </w:p>
    <w:p>
      <w:r>
        <w:t xml:space="preserve">Potsdam, den 15. Dezember 2025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Gesundheit und Soziales</w:t>
      </w:r>
    </w:p>
    <w:p>
      <w:r>
        <w:t xml:space="preserve">Britta Müller</w:t>
      </w:r>
    </w:p>
    <w:p>
      <w:r>
        <w:rPr>
          <w:color w:val="555555"/>
          <w:sz w:val="17"/>
        </w:rPr>
        <w:t xml:space="preserve">Zitiervorschlag: § 3 BbgKHTFZV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https://recht.nulegal.eu/gesetze/BbgKHTFZV/3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