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BbgKHEGIPV (Brandenburg) — Inkrafttreten</w:t>
      </w:r>
    </w:p>
    <w:p>
      <w:r>
        <w:rPr>
          <w:color w:val="555555"/>
          <w:sz w:val="18"/>
        </w:rPr>
        <w:t xml:space="preserve">Krankenhausinvestitionspauschalverordnung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2013 in Kraft.</w:t>
      </w:r>
    </w:p>
    <w:p>
      <w:r>
        <w:t xml:space="preserve">Potsdam, den 10. April 2013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rPr>
          <w:color w:val="555555"/>
          <w:sz w:val="17"/>
        </w:rPr>
        <w:t xml:space="preserve">Zitiervorschlag: § 7 BbgKHEGIPV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https://recht.nulegal.eu/gesetze/BbgKHEGIPV/7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