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BbgKHEGIPV (Brandenburg) — Bemessung der Investitionspauschale zugunsten der Schulen für Gesundheitsberufe</w:t>
      </w:r>
    </w:p>
    <w:p>
      <w:r>
        <w:rPr>
          <w:color w:val="555555"/>
          <w:sz w:val="18"/>
        </w:rPr>
        <w:t xml:space="preserve">Krankenhausinvestitionspauschalverordnung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Förderung der notwendigen Investitionen und Reinvestitionen erhalten Träger, die nach dem Krankenhausfinanzierungsgesetz eine geförderte Schule für Gesundheitsberufe betreiben, eine jährliche Investitionspauschale von 500 Euro je besetzten pflegesatzfinanzierten Ausbildungsplatz.</w:t>
      </w:r>
    </w:p>
    <w:p>
      <w:r>
        <w:rPr>
          <w:color w:val="555555"/>
          <w:sz w:val="17"/>
        </w:rPr>
        <w:t xml:space="preserve">Zitiervorschlag: § 3 BbgKHEGIPV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https://recht.nulegal.eu/gesetze/BbgKHEGIPV/3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