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BbgKHEG (Brandenburg) — Medizinische Universität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Medizinische Universität gelten neben den Vorschriften, die sich ausdrücklich auf diese beziehen, die §§ 3 bis 10, 11 Absatz 1 bis 3, die §§ 24a, 26, 34, 35 Absatz 1 und 3 sowie die §§ 36 und 37. Dabei gelten die §§ 3 bis 10, 11 Absatz 1 bis 3 sowie die §§ 24a, 26, 34 und 37 mit der Maßgabe, dass die Rechtsaufsichtsbehörde das für die Hochschulen zuständige Mitglied der Landesregierung ist.</w:t>
      </w:r>
    </w:p>
    <w:p>
      <w:r>
        <w:t xml:space="preserve">(2) Bis zum 31. Dezember 2024 gelten für die Medizinische Universität auch Abschnitt 3 sowie § 35 Absatz 2 Satz 2 mit der Maßgabe, dass der Feststellungsbescheid nach § 6 Absatz 3 des Brandenburgischen Universitätsmedizingesetzes mit seinem Erlass an die Stelle des Feststellungsbescheids nach § 14 Absatz 1 Satz 1 tritt.</w:t>
      </w:r>
    </w:p>
    <w:p>
      <w:r>
        <w:rPr>
          <w:color w:val="555555"/>
          <w:sz w:val="17"/>
        </w:rPr>
        <w:t xml:space="preserve">Zitiervorschlag: § 40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