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BbgKHEG (Brandenburg) — Nicht öffentlich geförderte Krankenhäuser</w:t>
      </w:r>
    </w:p>
    <w:p>
      <w:r>
        <w:rPr>
          <w:color w:val="555555"/>
          <w:sz w:val="18"/>
        </w:rPr>
        <w:t xml:space="preserve">Brandenburgisches Krankenhausentwicklungsgesetz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§ 3 Absatz 1 Satz 2, die §§ 4, 7 und 9 Absatz 1 und die §§ 10, 11, 26 bis 34 einschließlich der auf ihrer Grundlage erlassenen Rechtsverordnungen gelten auch für nicht öffentlich geförderte Krankenhäuser.</w:t>
      </w:r>
    </w:p>
    <w:p>
      <w:r>
        <w:t xml:space="preserve">(2) Auf Krankenhäuser des Straf- oder Maßregelvollzuges findet nur § 7 einschließlich der darauf gestützten Rechtsverordnungen Anwendung.</w:t>
      </w:r>
    </w:p>
    <w:p>
      <w:r>
        <w:rPr>
          <w:color w:val="555555"/>
          <w:sz w:val="17"/>
        </w:rPr>
        <w:t xml:space="preserve">Zitiervorschlag: § 39 BbgKHEG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https://recht.nulegal.eu/gesetze/BbgKHEG/39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