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BbgKHEG (Brandenburg) — Einschränkung von Grundrechten</w:t>
      </w:r>
    </w:p>
    <w:p>
      <w:r>
        <w:rPr>
          <w:color w:val="555555"/>
          <w:sz w:val="18"/>
        </w:rPr>
        <w:t xml:space="preserve">Brandenburgisches Krankenhausentwicklungsgesetz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Durch § 11 Absatz 3 wird das Grundrecht der Unverletzlichkeit der Wohnung (Artikel 13 Absatz 1 des Grundgesetzes, Artikel 15 Absatz 1 der Verfassung des Landes Brandenburg) und durch § 28 Absatz 1 und 2, §§ 29, 30 Satz 3, §§ 31, 33 Absatz 1 und § 34 wird das Grundrecht auf Datenschutz (Artikel 11 Absatz 1 der Verfassung des Landes Brandenburg) eingeschränkt.</w:t>
      </w:r>
    </w:p>
    <w:p>
      <w:r>
        <w:rPr>
          <w:color w:val="555555"/>
          <w:sz w:val="17"/>
        </w:rPr>
        <w:t xml:space="preserve">Zitiervorschlag: § 37 BbgKHEG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https://recht.nulegal.eu/gesetze/BbgKHEG/37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