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BbgKHEG (Brandenburg) — Datenschutz bei Forschungsvorhaben</w:t>
      </w:r>
    </w:p>
    <w:p>
      <w:r>
        <w:rPr>
          <w:color w:val="555555"/>
          <w:sz w:val="18"/>
        </w:rPr>
        <w:t xml:space="preserve">Brandenburgisches Krankenhausentwicklungsgesetz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Abweichend von § 25 Absatz 1 Satz 1 des Brandenburgischen Datenschutzgesetzes bedarf die Offenlegung von Patientendaten an andere Stellen oder Personen für Forschungszwecke ohne Einwilligung der betroffenen Person der vorherigen Bestätigung der nach § 11 zuständigen Rechtsaufsichtsbehörde, dass die Voraussetzungen für eine zulässige Datenübermittlung nach § 25 Absatz 1 Satz 1 des Brandenburgischen Datenschutzgesetzes vorliegen. Vor Erteilung der Bestätigung nach Satz 1 hört die nach § 11 zuständige Rechtsaufsichtsbehörde die Landesbeauftragte oder den Landesbeauftragten für den Datenschutz und das Recht auf Akteneinsicht an. Im Übrigen gilt § 25 des Brandenburgischen Datenschutzgesetzes uneingeschränkt.</w:t>
      </w:r>
    </w:p>
    <w:p>
      <w:r>
        <w:rPr>
          <w:color w:val="555555"/>
          <w:sz w:val="17"/>
        </w:rPr>
        <w:t xml:space="preserve">Zitiervorschlag: § 31 BbgKHEG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https://recht.nulegal.eu/gesetze/BbgKHEG/31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