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26 BbgKHEG (Brandenburg) — Statistik</w:t>
      </w:r>
    </w:p>
    <w:p>
      <w:r>
        <w:rPr>
          <w:color w:val="555555"/>
          <w:sz w:val="18"/>
        </w:rPr>
        <w:t xml:space="preserve">Brandenburgisches Krankenhausentwicklungsgesetz</w:t>
      </w:r>
    </w:p>
    <w:p>
      <w:r>
        <w:rPr>
          <w:color w:val="555555"/>
          <w:sz w:val="18"/>
        </w:rPr>
        <w:t xml:space="preserve">Landesrecht Brandenburg</w:t>
      </w:r>
    </w:p>
    <w:p>
      <w:r>
        <w:rPr>
          <w:color w:val="555555"/>
          <w:sz w:val="18"/>
        </w:rPr>
        <w:t xml:space="preserve">Stand: 30.07.2026 (konsolidierte Textfassung, kein amtliches Inkrafttretensdatum)</w:t>
      </w:r>
    </w:p>
    <w:p>
      <w:r>
        <w:t xml:space="preserve">Die Krankenhäuser sind verpflichtet, dem für das Gesundheitswesen zuständigen Ministerium sowie den von diesem bestimmten Behörden Auskünfte zu erteilen, die für die Aufstellung eines bedarfsgerecht gegliederten Systems leistungsfähiger Krankenhäuser oder als Grundlage für eine Förderung nach § 16 benötigt werden. Das für das Gesundheitswesen zuständige Mitglied der Landesregierung wird ermächtigt, durch Rechtsverordnung die unter die Auskunftspflicht fallenden Daten und das Verfahren im Einzelnen zu regeln.</w:t>
      </w:r>
    </w:p>
    <w:p>
      <w:r>
        <w:rPr>
          <w:color w:val="555555"/>
          <w:sz w:val="17"/>
        </w:rPr>
        <w:t xml:space="preserve">Zitiervorschlag: § 26 BbgKHEG (Brandenburg)</w:t>
      </w:r>
    </w:p>
    <w:p>
      <w:r>
        <w:rPr>
          <w:color w:val="555555"/>
          <w:sz w:val="17"/>
        </w:rPr>
        <w:t xml:space="preserve">Quelle: bravors, abgerufen 29.07.2026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https://recht.nulegal.eu/gesetze/BbgKHEG/26</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