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BbgKHEG (Brandenburg) — Krankenhäuser von Religionsgemeinschaften</w:t>
      </w:r>
    </w:p>
    <w:p>
      <w:r>
        <w:rPr>
          <w:color w:val="555555"/>
          <w:sz w:val="18"/>
        </w:rPr>
        <w:t xml:space="preserve">Brandenburgisches Krankenhausentwicklungsgesetz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§§ 5, 6, 23 Absatz 1 und die Regelungen zum Datenschutz in Abschnitt 5 sowie die Rechtsverordnungen aufgrund von § 7 Absatz 2 gelten nicht für Krankenhäuser, die von Religionsgemeinschaften oder diesen gleichgestellten oder ihnen zuzuordnenden Einrichtungen betrieben werden. Für diese sind in eigener Zuständigkeit Regelungen zu schaffen.</w:t>
      </w:r>
    </w:p>
    <w:p>
      <w:r>
        <w:t xml:space="preserve">(2) Die Regelungen im Sinne von Absatz 1 Satz 2 müssen sicherstellen, dass diese Standards des Patienten- und Datenschutzes sowie der Krankenhaushygiene nicht hinter den in Absatz 1 Satz 1 genannten Bestimmungen zurückbleiben.</w:t>
      </w:r>
    </w:p>
    <w:p>
      <w:r>
        <w:rPr>
          <w:color w:val="555555"/>
          <w:sz w:val="17"/>
        </w:rPr>
        <w:t xml:space="preserve">Zitiervorschlag: § 25 BbgKHEG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https://recht.nulegal.eu/gesetze/BbgKHEG/25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