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BbgKCanGZV (Brandenburg)</w:t>
      </w:r>
    </w:p>
    <w:p>
      <w:r>
        <w:rPr>
          <w:color w:val="555555"/>
          <w:sz w:val="18"/>
        </w:rPr>
        <w:t xml:space="preserve">Brandenburgische Konsumcannabisgesetz-Zuständigkeitsverordnung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Speziellere Zuständigkeitsregelungen anderer Rechtsvorschriften gehen vor.</w:t>
      </w:r>
    </w:p>
    <w:p>
      <w:r>
        <w:rPr>
          <w:color w:val="555555"/>
          <w:sz w:val="17"/>
        </w:rPr>
        <w:t xml:space="preserve">Zitiervorschlag: § 2 BbgKCanGZV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https://recht.nulegal.eu/gesetze/BbgKCanGZV/2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