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BbgKAbwV (Brandenburg) — Berichtspflicht</w:t>
      </w:r>
    </w:p>
    <w:p>
      <w:r>
        <w:rPr>
          <w:color w:val="555555"/>
          <w:sz w:val="18"/>
        </w:rPr>
        <w:t xml:space="preserve">Brandenburgische Kommunalabwasserverordnung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für Einleitungserlaubnisse zuständigen Wasserbehörden haben alle Angaben über den Vollzug dieser Verordnung auf Anforderung dem Wasserwirtschaftsamt im Landesamt für Umwelt zu übermitteln.</w:t>
      </w:r>
    </w:p>
    <w:p>
      <w:r>
        <w:rPr>
          <w:color w:val="555555"/>
          <w:sz w:val="17"/>
        </w:rPr>
        <w:t xml:space="preserve">Zitiervorschlag: § 9 BbgKAbwV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https://recht.nulegal.eu/gesetze/BbgKAbwV/9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