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BbgKAbwV (Brandenburg) — Klärschlamm</w:t>
      </w:r>
    </w:p>
    <w:p>
      <w:r>
        <w:rPr>
          <w:color w:val="555555"/>
          <w:sz w:val="18"/>
        </w:rPr>
        <w:t xml:space="preserve">Brandenburgische Kommunalabwasserverordnung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Klärschlamm aus der Abwasserbehandlung darf nicht in Gewässer eingeleitet werden; er ist vorrangig zu verwerten.</w:t>
      </w:r>
    </w:p>
    <w:p>
      <w:r>
        <w:rPr>
          <w:color w:val="555555"/>
          <w:sz w:val="17"/>
        </w:rPr>
        <w:t xml:space="preserve">Zitiervorschlag: § 8 BbgKAbwV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https://recht.nulegal.eu/gesetze/BbgKAbwV/8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BbgKAbwV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