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BbgKAbwV (Brandenburg) — Anwendungsbereich und Ausweisung empfindlicher Gebiete</w:t>
      </w:r>
    </w:p>
    <w:p>
      <w:r>
        <w:rPr>
          <w:color w:val="555555"/>
          <w:sz w:val="18"/>
        </w:rPr>
        <w:t xml:space="preserve">Brandenburgische Kommunalabwasserverordnung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betrifft das Sammeln, Behandeln und Einleiten von kommunalem Abwasser und das Behandeln und Einleiten von Abwasser bestimmter Industriebranchen.</w:t>
      </w:r>
    </w:p>
    <w:p>
      <w:r>
        <w:t xml:space="preserve">(2) Das Land Brandenburg ist empfindliches Gebiet im Sinne von Artikel 5 Abs. 1 der genannten Richtlinie.</w:t>
      </w:r>
    </w:p>
    <w:p>
      <w:r>
        <w:rPr>
          <w:color w:val="555555"/>
          <w:sz w:val="17"/>
        </w:rPr>
        <w:t xml:space="preserve">Zitiervorschlag: § 2 BbgKAbwV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https://recht.nulegal.eu/gesetze/BbgKAbwV/2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