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BbgJagdG (Brandenburg) — Jagdflächen des Landes und des Bundes</w:t>
      </w:r>
    </w:p>
    <w:p>
      <w:r>
        <w:rPr>
          <w:color w:val="555555"/>
          <w:sz w:val="18"/>
        </w:rPr>
        <w:t xml:space="preserve">Jagdgesetz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Eigenjagdbezirken des Landes nutzt das Land die Jagd selbst oder durch Verpachtung. Übt das Land die Jagd selbst aus, findet § 6 Abs. 2 keine Anwendung. Die Vertretung aller landeseigenen Flächen erfolgt durch die untere Forstbehörde. Das Nähere regelt eine Jagdnutzungsvorschrift, die durch das für das Jagdwesen zuständige Mitglied der Landesregierung erlassen wird.</w:t>
      </w:r>
    </w:p>
    <w:p>
      <w:r>
        <w:t xml:space="preserve">(2) Für Flächen des Bundes findet § 6 Abs. 2 keine Anwendung. Die Vertretung dieser Flächen erfolgt entsprechend den für die Bundesforstverwaltung geltenden Regelungen.</w:t>
      </w:r>
    </w:p>
    <w:p>
      <w:r>
        <w:rPr>
          <w:color w:val="555555"/>
          <w:sz w:val="17"/>
        </w:rPr>
        <w:t xml:space="preserve">Zitiervorschlag: § 8 BbgJagdG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https://recht.nulegal.eu/gesetze/BbgJagdG/8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