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BbgJagdG (Brandenburg) — In-Kraft-Treten, Außer-Kraft-Treten</w:t>
      </w:r>
    </w:p>
    <w:p>
      <w:r>
        <w:rPr>
          <w:color w:val="555555"/>
          <w:sz w:val="18"/>
        </w:rPr>
        <w:t xml:space="preserve">Jagdgesetz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§ 9 Abs. 6 tritt am Tage nach der Verkündung in Kraft. Im Übrigen tritt dieses Gesetz am 1. April 2004 in Kraft. Gleichzeitig tritt das Brandenburgische Landesjagdgesetz vom 3. März 1992 ( GVBl. I S. 58, 231), geändert durch Artikel 3 des Gesetzes vom 5. November 1997 (GVBl. I S. 112), außer Kraft.</w:t>
      </w:r>
    </w:p>
    <w:p>
      <w:r>
        <w:t xml:space="preserve">(2) § 37a, § 58 Absatz 3 und § 60 Nummer 11a treten an dem Tag außer Kraft, an dem eine spezielle Regelung für die Tierart Wolf im Bundesjagdgesetz in Kraft tritt. Das Ministerium für Land- und Ernährungswirtschaft, Umwelt und Verbraucherschutz gibt den Tag des Außerkrafttretens im Gesetz- und Verordnungsblatt für das Land Brandenburg Teil I bekannt.</w:t>
      </w:r>
    </w:p>
    <w:p>
      <w:r>
        <w:t xml:space="preserve">Potsdam, den 9. Oktober 2003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64 BbgJagdG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https://recht.nulegal.eu/gesetze/BbgJagdG/64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