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61 BbgJagdG (Brandenburg) — Verwaltungsbehörde, Verbot der Jagdausübung und Einziehung</w:t>
      </w:r>
    </w:p>
    <w:p>
      <w:r>
        <w:rPr>
          <w:color w:val="555555"/>
          <w:sz w:val="18"/>
        </w:rPr>
        <w:t xml:space="preserve">Jagdgesetz für das Land Brandenburg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Verwaltungsbehörde im Sinne des § 36 Abs. 1 Nr. 1 des Gesetzes über Ordnungswidrigkeiten für die Verfolgung und Ahndung von Ordnungswidrigkeiten nach § 60 Abs. 1 und 2 sowie § 39 des Bundesjagdgesetzes ist die Behörde, die für den Vollzug der verletzten Vorschrift zuständig ist.</w:t>
      </w:r>
    </w:p>
    <w:p>
      <w:r>
        <w:t xml:space="preserve">(2) Die §§ 40, 41 und 41 a des Bundesjagdgesetzes finden entsprechend Anwendung.</w:t>
      </w:r>
    </w:p>
    <w:p>
      <w:r>
        <w:rPr>
          <w:color w:val="555555"/>
          <w:sz w:val="17"/>
        </w:rPr>
        <w:t xml:space="preserve">Zitiervorschlag: § 61 BbgJagdG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https://recht.nulegal.eu/gesetze/BbgJagdG/61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