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BbgJagdG (Brandenburg) — Vorverfahren</w:t>
      </w:r>
    </w:p>
    <w:p>
      <w:r>
        <w:rPr>
          <w:color w:val="555555"/>
          <w:sz w:val="18"/>
        </w:rPr>
        <w:t xml:space="preserve">Jagdgesetz für das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In Wild- und Jagdschadenssachen kann der ordentliche Rechtsweg erst beschritten werden, wenn das Feststellungsverfahren durchgeführt ist.</w:t>
      </w:r>
    </w:p>
    <w:p>
      <w:r>
        <w:t xml:space="preserve">(2) Lehnt die Feststellungsbehörde die Durchführung des Feststellungsverfahrens ab, weil der geltend gemachte Schaden nicht fristgerecht angemeldet worden ist oder kein ersatzpflichtiger Wild- oder Jagdschaden ist, so ist dem Geschädigten ein begründeter Bescheid mit einer Belehrung über die Frist der Klageerhebung zuzustellen.</w:t>
      </w:r>
    </w:p>
    <w:p>
      <w:r>
        <w:rPr>
          <w:color w:val="555555"/>
          <w:sz w:val="17"/>
        </w:rPr>
        <w:t xml:space="preserve">Zitiervorschlag: § 47 BbgJagdG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https://recht.nulegal.eu/gesetze/BbgJagdG/47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