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BbgJagdG (Brandenburg) — Verfolgung kranken oder krank geschossenen Wildes in befriedeten Bezirken</w:t>
      </w:r>
    </w:p>
    <w:p>
      <w:r>
        <w:rPr>
          <w:color w:val="555555"/>
          <w:sz w:val="18"/>
        </w:rPr>
        <w:t xml:space="preserve">Jagdgesetz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Wildfolge ist ohne Vereinbarung in Gebiete zulässig, in denen die Jagd ruht oder nur eine beschränkte Jagdausübung gestattet ist. Das gilt auch für Hofräume und Hausgärten im Sinne von § 4 Abs. 1 Nr. 2; dem Jagdausübungsberechtigten steht auch in diesen Fällen das Aneignungsrecht zu.</w:t>
      </w:r>
    </w:p>
    <w:p>
      <w:r>
        <w:t xml:space="preserve">(2) In Gebäude ist Wildfolge nur mit Zustimmung des Nutzungsberechtigten zulässig. Das Aneignungsrecht steht dem Jagdausübungsberechtigten zu.</w:t>
      </w:r>
    </w:p>
    <w:p>
      <w:r>
        <w:rPr>
          <w:color w:val="555555"/>
          <w:sz w:val="17"/>
        </w:rPr>
        <w:t xml:space="preserve">Zitiervorschlag: § 36 BbgJagdG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https://recht.nulegal.eu/gesetze/BbgJagdG/36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