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BbgJagdG (Brandenburg) — Örtliche Beschränkungen</w:t>
      </w:r>
    </w:p>
    <w:p>
      <w:r>
        <w:rPr>
          <w:color w:val="555555"/>
          <w:sz w:val="18"/>
        </w:rPr>
        <w:t xml:space="preserve">Jagdgesetz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Ausübung der Jagd in Wildschutzgebieten, Nationalparks, Biosphärenreservaten und Naturschutzgebieten erfolgt im Rahmen der Schutzgebietsverordnungen. Jagdbeschränkungen sind nur zulässig, soweit der Schutzzweck dies erfordert.</w:t>
      </w:r>
    </w:p>
    <w:p>
      <w:r>
        <w:t xml:space="preserve">(2) Unbeschadet einer Regelung nach Absatz 1 regelt in Gebieten von gemeinschaftlicher Bedeutung und in Europäischen Vogelschutzgebieten die oberste Jagdbehörde im Einvernehmen mit der obersten Naturschutzbehörde die Ausübung der Jagd durch Allgemeinverfügung, soweit dies zur Sicherung der jeweiligen Erhaltungsziele oder zum Schutz der wildlebenden Vogelarten erforderlich ist.</w:t>
      </w:r>
    </w:p>
    <w:p>
      <w:r>
        <w:rPr>
          <w:color w:val="555555"/>
          <w:sz w:val="17"/>
        </w:rPr>
        <w:t xml:space="preserve">Zitiervorschlag: § 28 BbgJagdG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