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BbgJagdG (Brandenburg) — Gruppenhaftpflichtversicherung</w:t>
      </w:r>
    </w:p>
    <w:p>
      <w:r>
        <w:rPr>
          <w:color w:val="555555"/>
          <w:sz w:val="18"/>
        </w:rPr>
        <w:t xml:space="preserve">Jagdgesetz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Abschluss von Gruppenhaftpflichtversicherungen ohne Beteiligungszwang ist zulässig.</w:t>
      </w:r>
    </w:p>
    <w:p>
      <w:r>
        <w:rPr>
          <w:color w:val="555555"/>
          <w:sz w:val="17"/>
        </w:rPr>
        <w:t xml:space="preserve">Zitiervorschlag: § 25 BbgJagdG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https://recht.nulegal.eu/gesetze/BbgJagdG/25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