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BbgJagdG (Brandenburg) — Nichtigkeit von Jagdpachtverträgen und Jagderlaubnisverträgen</w:t>
      </w:r>
    </w:p>
    <w:p>
      <w:r>
        <w:rPr>
          <w:color w:val="555555"/>
          <w:sz w:val="18"/>
        </w:rPr>
        <w:t xml:space="preserve">Jagdgesetz für das Land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30.07.2026 (konsolidierte Textfassung, kein amtliches Inkrafttretensdatum)</w:t>
      </w:r>
    </w:p>
    <w:p>
      <w:r>
        <w:t xml:space="preserve">Ein Vertrag, der gegen die Bestimmungen des § 13 Abs. 2 und § 14 verstößt, ist nichtig.</w:t>
      </w:r>
    </w:p>
    <w:p>
      <w:r>
        <w:rPr>
          <w:color w:val="555555"/>
          <w:sz w:val="17"/>
        </w:rPr>
        <w:t xml:space="preserve">Zitiervorschlag: § 17 BbgJagdG (Brandenburg)</w:t>
      </w:r>
    </w:p>
    <w:p>
      <w:r>
        <w:rPr>
          <w:color w:val="555555"/>
          <w:sz w:val="17"/>
        </w:rPr>
        <w:t xml:space="preserve">Quelle: bravors, abgerufen 29.07.2026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https://recht.nulegal.eu/gesetze/BbgJagdG/17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