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BbgJagdDV (Brandenburg) — Inkrafttreten, Außerkrafttreten</w:t>
      </w:r>
    </w:p>
    <w:p>
      <w:r>
        <w:rPr>
          <w:color w:val="555555"/>
          <w:sz w:val="18"/>
        </w:rPr>
        <w:t xml:space="preserve">Verordnung zur Durchführung des Jagdgesetzes für das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Diese Verordnung tritt am Tag nach der Verkündung in Kraft. Gleichzeitig tritt die Verordnung zur Durchführung des Jagdgesetzes für das Land Brandenburg vom 2. April 2004 ( GVBl. II S. 305), die zuletzt durch die Verordnung vom 29. September 2014 (GVBl. II Nr. 74) geändert worden ist, außer Kraft.</w:t>
      </w:r>
    </w:p>
    <w:p>
      <w:r>
        <w:t xml:space="preserve">Einzelnorm</w:t>
      </w:r>
    </w:p>
    <w:p>
      <w:r>
        <w:t xml:space="preserve">Potsdam, den 28. Juni 2019</w:t>
      </w:r>
    </w:p>
    <w:p>
      <w:r>
        <w:t xml:space="preserve">Der Minister für Ländliche Entwicklung,</w:t>
      </w:r>
    </w:p>
    <w:p>
      <w:r>
        <w:t xml:space="preserve">Umwelt und Landwirtschaft</w:t>
      </w:r>
    </w:p>
    <w:p>
      <w:r>
        <w:t xml:space="preserve">Jörg Vogelsänger</w:t>
      </w:r>
    </w:p>
    <w:p>
      <w:r>
        <w:rPr>
          <w:color w:val="555555"/>
          <w:sz w:val="17"/>
        </w:rPr>
        <w:t xml:space="preserve">Zitiervorschlag: § 10 BbgJagdDV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https://recht.nulegal.eu/gesetze/BbgJagdDV/10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