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BbgJVollzG (Brandenburg) — Grundsatz der Verhältnismäßigkeit</w:t>
      </w:r>
    </w:p>
    <w:p>
      <w:r>
        <w:rPr>
          <w:color w:val="555555"/>
          <w:sz w:val="18"/>
        </w:rPr>
        <w:t xml:space="preserve">Brandenburgisches Justizvollzugsgesetz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Unter mehreren möglichen und geeigneten Maßnahmen des unmittelbaren Zwangs sind diejenigen zu wählen, die den Einzelnen und die Allgemeinheit voraussichtlich am wenigsten beeinträchtigen.</w:t>
      </w:r>
    </w:p>
    <w:p>
      <w:r>
        <w:t xml:space="preserve">(2) Unmittelbarer Zwang unterbleibt, wenn ein durch ihn zu erwartender Schaden erkennbar außer Verhältnis zu dem angestrebten Erfolg steht.</w:t>
      </w:r>
    </w:p>
    <w:p>
      <w:r>
        <w:rPr>
          <w:color w:val="555555"/>
          <w:sz w:val="17"/>
        </w:rPr>
        <w:t xml:space="preserve">Zitiervorschlag: § 95 BbgJVollzG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https://recht.nulegal.eu/gesetze/BbgJVollzG/95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