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BbgJVollzG (Brandenburg) — Allgemeine Voraussetzungen</w:t>
      </w:r>
    </w:p>
    <w:p>
      <w:r>
        <w:rPr>
          <w:color w:val="555555"/>
          <w:sz w:val="18"/>
        </w:rPr>
        <w:t xml:space="preserve">Brandenburgisches Justizvollzugsgesetz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Bedienstete dürfen unmittelbaren Zwang anwenden, wenn sie Vollzugs- und Sicherungsmaßnahmen rechtmäßig durchführen und der damit verfolgte Zweck auf keine andere Weise erreicht werden kann.</w:t>
      </w:r>
    </w:p>
    <w:p>
      <w:r>
        <w:t xml:space="preserve">(2) Gegen andere Personen als Gefangene darf unmittelbarer Zwang angewendet werden, wenn sie es unternehmen, Gefangene zu befreien oder widerrechtlich in die Anstalt einzudringen, oder wenn sie sich unbefugt darin aufhalten.</w:t>
      </w:r>
    </w:p>
    <w:p>
      <w:r>
        <w:t xml:space="preserve">(3) Das Recht zu unmittelbarem Zwang aufgrund anderer Regelungen bleibt unberührt.</w:t>
      </w:r>
    </w:p>
    <w:p>
      <w:r>
        <w:rPr>
          <w:color w:val="555555"/>
          <w:sz w:val="17"/>
        </w:rPr>
        <w:t xml:space="preserve">Zitiervorschlag: § 94 BbgJVollzG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https://recht.nulegal.eu/gesetze/BbgJVollzG/94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