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BbgJVollzG (Brandenburg) — Zwangsmaßnahmen auf dem Gebiet der Gesundheitsfürsorge</w:t>
      </w:r>
    </w:p>
    <w:p>
      <w:r>
        <w:rPr>
          <w:color w:val="555555"/>
          <w:sz w:val="18"/>
        </w:rPr>
        <w:t xml:space="preserve">Brandenburgisches Justizvollzugsgesetz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 medizinische Untersuchung und Behandlung ist ohne Einwilligung der Gefangenen zulässig, um den Erfolg eines Selbsttötungsversuchs zu verhindern. Eine Maßnahme nach Satz 1 ist auch zulässig, wenn von den Gefangenen eine schwerwiegende Gefahr für die Gesundheit einer anderen Person ausgeht und die Maßnahme verhältnismäßig ist.</w:t>
      </w:r>
    </w:p>
    <w:p>
      <w:r>
        <w:t xml:space="preserve">(2) Eine medizinische Untersuchung und Behandlung sowie eine Zwangsernährung sind bei Lebensgefahr oder schwerwiegender Gefahr für die Gesundheit der Gefangenen zulässig, wenn diese zur Einsicht in das Vorliegen der Gefahr und die Notwendigkeit der Maßnahme oder zum Handeln gemäß solcher Einsicht krankheitsbedingt nicht fähig sind.</w:t>
      </w:r>
    </w:p>
    <w:p>
      <w:r>
        <w:t xml:space="preserve">(3) Eine Maßnahme nach Absatz 2 darf nur angeordnet werden, wenn</w:t>
      </w:r>
    </w:p>
    <w:p>
      <w:r>
        <w:t xml:space="preserve">eine Patientenverfügung im Sinne des § 1901a Absatz 1 Satz 1 des Bürgerlichen Gesetzbuches, deren Festlegungen auf die aktuelle Lebens- und Behandlungssituation zutreffen und gegen die Durchführung der Maßnahme gerichtet sind, der Anstalt nicht vorliegt,</w:t>
      </w:r>
    </w:p>
    <w:p>
      <w:r>
        <w:t xml:space="preserve">die Gefangenen durch eine Ärztin oder einen Arzt über Notwendigkeit, Art, Umfang, Dauer, zu erwartende Folgen und Risiken der Maßnahme in einer ihrer Auffassungsgabe und ihrem Gesundheitszustand angemessenen Weise aufgeklärt wurden,</w:t>
      </w:r>
    </w:p>
    <w:p>
      <w:r>
        <w:t xml:space="preserve">der ernsthafte und ohne Ausübung von Druck unternommene Versuch einer Ärztin oder eines Arztes, ein Einverständnis der Gefangenen mit der Maßnahme zu erwirken, erfolglos geblieben ist,</w:t>
      </w:r>
    </w:p>
    <w:p>
      <w:r>
        <w:t xml:space="preserve">die Maßnahme zur Abwendung einer Gefahr nach Absatz 2 geeignet und erforderlich ist und</w:t>
      </w:r>
    </w:p>
    <w:p>
      <w:r>
        <w:t xml:space="preserve">der von der Maßnahme erwartete Nutzen die mit der Maßnahme verbundene Belastung und den durch das Unterlassen der Maßnahme möglichen Schaden deutlich überwiegt.</w:t>
      </w:r>
    </w:p>
    <w:p>
      <w:r>
        <w:t xml:space="preserve">(4) Maßnahmen nach den Absätzen 1 und 2 dürfen nur von der Anstaltsleiterin oder dem Anstaltsleiter auf der Grundlage einer ärztlichen Empfehlung angeordnet werden. Die Anordnung bedarf der Zustimmung der medizinischen Fachaufsicht. Durchführung und Überwachung unterstehen ärztlicher Leitung. Unberührt bleibt die Leistung erster Hilfe für den Fall, dass eine Ärztin oder ein Arzt nicht rechtzeitig erreichbar und mit einem Aufschub Lebensgefahr verbunden ist. Die Gründe für die Anordnung einer Maßnahme nach Absatz 1 oder Absatz 2, in den Fällen des Absatzes 2 auch das Vorliegen der dort genannten Voraussetzungen sowie die ergriffene Maßnahme, einschließlich ihres Zwangscharakters, die Durchsetzungsweise, die Wirkungsüberwachung sowie der Untersuchungs- und Behandlungsverlauf sind zu dokumentieren. Gleiches gilt für Erklärungen der Gefangenen, die im Zusammenhang mit Zwangsmaßnahmen von Bedeutung sein können.</w:t>
      </w:r>
    </w:p>
    <w:p>
      <w:r>
        <w:t xml:space="preserve">(5) Die Anordnung einer Maßnahme nach Absatz 1 Satz 2 oder Absatz 2 ist den Gefangenen vor Durchführung der Maßnahme schriftlich bekannt zu geben. Sie sind darüber zu belehren, dass sie gegen die Anordnung bei Gericht um einstweiligen Rechtsschutz ersuchen und auch Antrag auf gerichtliche Entscheidung stellen können. Mit dem Vollzug einer Anordnung ist zuzuwarten, bis die Gefangenen Gelegenheit hatten, eine gerichtliche Entscheidung herbeizuführen.</w:t>
      </w:r>
    </w:p>
    <w:p>
      <w:r>
        <w:t xml:space="preserve">(6) Bei Gefahr im Verzug finden Absatz 3 Nummer 2 und 3 und Absatz 5 keine Anwendung.</w:t>
      </w:r>
    </w:p>
    <w:p>
      <w:r>
        <w:t xml:space="preserve">(7) Die zwangsweise körperliche Untersuchung der Gefangenen zum Gesundheitsschutz und zur Hygiene ist zulässig, wenn sie nicht mit einem körperlichen Eingriff verbunden ist. Sie darf nur von der Anstaltsleiterin oder dem Anstaltsleiter auf der Grundlage einer ärztlichen Stellungnahme angeordnet werden. Durchführung und Überwachung unterstehen ärztlicher Leitung.</w:t>
      </w:r>
    </w:p>
    <w:p>
      <w:r>
        <w:rPr>
          <w:color w:val="555555"/>
          <w:sz w:val="17"/>
        </w:rPr>
        <w:t xml:space="preserve">Zitiervorschlag: § 79 BbgJVollzG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https://recht.nulegal.eu/gesetze/BbgJVollzG/79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