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BbgJVollzG (Brandenburg) — Anwendung des Brandenburgischen Polizei-, Justizvollzugs- und Maßregelvollzugsdatenschutzgesetzes</w:t>
      </w:r>
    </w:p>
    <w:p>
      <w:r>
        <w:rPr>
          <w:color w:val="555555"/>
          <w:sz w:val="18"/>
        </w:rPr>
        <w:t xml:space="preserve">Brandenburgisches Justizvollzugsgesetz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Brandenburgische Polizei-, Justizvollzugs- und Maßregelvollzugsdatenschutzgesetz findet Anwendung, soweit in diesem Gesetz nicht Abweichendes geregelt ist.</w:t>
      </w:r>
    </w:p>
    <w:p>
      <w:r>
        <w:rPr>
          <w:color w:val="555555"/>
          <w:sz w:val="17"/>
        </w:rPr>
        <w:t xml:space="preserve">Zitiervorschlag: § 121 BbgJVollzG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https://recht.nulegal.eu/gesetze/BbgJVollzG/121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