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BbgJVollzG (Brandenburg) — Aufnahmeverfahren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den Gefangenen wird unverzüglich nach der Aufnahme ein Zugangsgespräch geführt, in dem ihre gegenwärtige Lebenssituation erörtert wird und sie über ihre Rechte und Pflichten in einer für sie verständlichen Form informiert werden. Soweit erforderlich, ist eine Sprachmittlerin oder ein Sprachmittler oder eine Gebärdendolmetscherin oder ein Gebärdendolmetscher hinzuzuziehen. Den Gefangenen wird ein Exemplar der Hausordnung ausgehändigt oder in anderer Form zur Verfügung gestellt. Dieses Gesetz, die von ihm in Bezug genommenen Gesetze sowie die zu seiner Ausführung erlassenen Rechtsverordnungen und Verwaltungsvorschriften sind den Gefangenen auf Verlangen zugänglich zu machen.</w:t>
      </w:r>
    </w:p>
    <w:p>
      <w:r>
        <w:t xml:space="preserve">(2) Während des Aufnahmeverfahrens dürfen andere Gefangene nicht zugegen sein.</w:t>
      </w:r>
    </w:p>
    <w:p>
      <w:r>
        <w:t xml:space="preserve">(3) Die Gefangenen werden alsbald ärztlich untersucht.</w:t>
      </w:r>
    </w:p>
    <w:p>
      <w:r>
        <w:t xml:space="preserve">(4) Die Gefangenen werden dabei unterstützt, etwa notwendige Maßnahmen für hilfsbedürftige Angehörige, zur Erhaltung des Arbeitsplatzes und der Wohnung und zur Sicherung ihrer Habe außerhalb der Anstalt zu veranlassen.</w:t>
      </w:r>
    </w:p>
    <w:p>
      <w:r>
        <w:t xml:space="preserve">(5) Den Untersuchungsgefangenen ist Gelegenheit zu geben, eine Angehörige oder einen Angehörigen oder eine Vertrauensperson von der Aufnahme in die Anstalt zu benachrichtigen.</w:t>
      </w:r>
    </w:p>
    <w:p>
      <w:r>
        <w:t xml:space="preserve">(6) Die Personensorgeberechtigen, die zuständige Vollstreckungsleiterin oder der zuständige Vollstreckungsleiter und das Jugendamt werden von der Aufnahme der jungen Gefangenen unverzüglich unterrichtet.</w:t>
      </w:r>
    </w:p>
    <w:p>
      <w:r>
        <w:t xml:space="preserve">(7) Bei Strafgefangenen, die eine Ersatzfreiheitsstrafe verbüßen, sind die Möglichkeiten der Abwendung der Vollstreckung durch freie Arbeit oder ratenweise Tilgung der Geldstrafe zu erörtern und zu fördern, um so auf eine möglichst baldige Entlassung hinzuwirken.</w:t>
      </w:r>
    </w:p>
    <w:p>
      <w:r>
        <w:rPr>
          <w:color w:val="555555"/>
          <w:sz w:val="17"/>
        </w:rPr>
        <w:t xml:space="preserve">Zitiervorschlag: § 12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