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BbgJAVollzG (Brandenburg) — Soziale Hilfe</w:t>
      </w:r>
    </w:p>
    <w:p>
      <w:r>
        <w:rPr>
          <w:color w:val="555555"/>
          <w:sz w:val="18"/>
        </w:rPr>
        <w:t xml:space="preserve">Brandenburgisches Jugendarrestvollzugsgesetz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</w:t>
      </w:r>
    </w:p>
    <w:p>
      <w:r>
        <w:t xml:space="preserve">Die Arrestierten werden darin unterstützt, ihre persönlichen,</w:t>
      </w:r>
    </w:p>
    <w:p>
      <w:r>
        <w:t xml:space="preserve">wirtschaftlichen und sozialen Schwierigkeiten zu beheben. Sie sollen dazu</w:t>
      </w:r>
    </w:p>
    <w:p>
      <w:r>
        <w:t xml:space="preserve">angeregt und in die Lage versetzt werden, ihre Angelegenheiten selbst zu regeln.</w:t>
      </w:r>
    </w:p>
    <w:p>
      <w:r>
        <w:t xml:space="preserve">Die zuständige Jugendgerichtshelferin oder der zuständige Jugendgerichtshelfer</w:t>
      </w:r>
    </w:p>
    <w:p>
      <w:r>
        <w:t xml:space="preserve">hält auch während des Dauerarrestes Kontakt zu den Arrestierten und beteiligt</w:t>
      </w:r>
    </w:p>
    <w:p>
      <w:r>
        <w:t xml:space="preserve">sich an der Vermittlung von weiterführenden Hilfen.</w:t>
      </w:r>
    </w:p>
    <w:p>
      <w:r>
        <w:t xml:space="preserve">(2)</w:t>
      </w:r>
    </w:p>
    <w:p>
      <w:r>
        <w:t xml:space="preserve">Die Beratung der Arrestierten soll auch die Vermittlung des Kontaktes zu</w:t>
      </w:r>
    </w:p>
    <w:p>
      <w:r>
        <w:t xml:space="preserve">Stellen und Einrichtungen außerhalb der Anstalt umfassen, die die Arrestierten</w:t>
      </w:r>
    </w:p>
    <w:p>
      <w:r>
        <w:t xml:space="preserve">am Wohnort begleiten und fördern können. Mit dem Einverständnis der Arrestierten</w:t>
      </w:r>
    </w:p>
    <w:p>
      <w:r>
        <w:t xml:space="preserve">stellt die Anstalt den Kontakt zu freien Trägern her, die sie nach der</w:t>
      </w:r>
    </w:p>
    <w:p>
      <w:r>
        <w:t xml:space="preserve">Entlassung an ihrem Wohnort sofort unterstützen können.</w:t>
      </w:r>
    </w:p>
    <w:p>
      <w:r>
        <w:rPr>
          <w:color w:val="555555"/>
          <w:sz w:val="17"/>
        </w:rPr>
        <w:t xml:space="preserve">Zitiervorschlag: § 7 BbgJAVollzG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https://recht.nulegal.eu/gesetze/BbgJAVollzG/7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