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BbgJAVollzG (Brandenburg) — Einschränkung von Grundrechten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die Rechte auf körperliche Unversehrtheit und</w:t>
      </w:r>
    </w:p>
    <w:p>
      <w:r>
        <w:t xml:space="preserve">Freiheit der Person (Artikel 2 Absatz 2 des Grundgesetzes, Artikel 8 Absatz 1</w:t>
      </w:r>
    </w:p>
    <w:p>
      <w:r>
        <w:t xml:space="preserve">und Artikel 9 Absatz 1 der Verfassung des Landes Brandenburg), auf</w:t>
      </w:r>
    </w:p>
    <w:p>
      <w:r>
        <w:t xml:space="preserve">Unverletzlichkeit des Brief-, Post- und Fernmeldegeheimnisses (Artikel 10</w:t>
      </w:r>
    </w:p>
    <w:p>
      <w:r>
        <w:t xml:space="preserve">Absatz 1 des Grundgesetzes, Artikel 16 Absatz 1 der Verfassung des Landes</w:t>
      </w:r>
    </w:p>
    <w:p>
      <w:r>
        <w:t xml:space="preserve">Brandenburg) und auf Datenschutz (Artikel 11 der Verfassung des Landes</w:t>
      </w:r>
    </w:p>
    <w:p>
      <w:r>
        <w:t xml:space="preserve">Brandenburg) eingeschränkt.</w:t>
      </w:r>
    </w:p>
    <w:p>
      <w:r>
        <w:rPr>
          <w:color w:val="555555"/>
          <w:sz w:val="17"/>
        </w:rPr>
        <w:t xml:space="preserve">Zitiervorschlag: § 47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