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BbgJAVollzG (Brandenburg) — Begriffsbestimmungen, allgemeine Voraussetzungen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Unmittelbarer Zwang ist die Einwirkung auf Personen oder Sachen durch</w:t>
      </w:r>
    </w:p>
    <w:p>
      <w:r>
        <w:t xml:space="preserve">körperliche Gewalt.</w:t>
      </w:r>
    </w:p>
    <w:p>
      <w:r>
        <w:t xml:space="preserve">(2)</w:t>
      </w:r>
    </w:p>
    <w:p>
      <w:r>
        <w:t xml:space="preserve">Körperliche Gewalt ist jede unmittelbare körperliche Einwirkung auf</w:t>
      </w:r>
    </w:p>
    <w:p>
      <w:r>
        <w:t xml:space="preserve">Personen oder Sachen.</w:t>
      </w:r>
    </w:p>
    <w:p>
      <w:r>
        <w:t xml:space="preserve">(3)</w:t>
      </w:r>
    </w:p>
    <w:p>
      <w:r>
        <w:t xml:space="preserve">Bedienstete dürfen unmittelbaren Zwang anwenden, wenn sie Maßnahmen des</w:t>
      </w:r>
    </w:p>
    <w:p>
      <w:r>
        <w:t xml:space="preserve">Arrestes rechtmäßig durchführen und der damit verfolgte Zweck nicht auf andere</w:t>
      </w:r>
    </w:p>
    <w:p>
      <w:r>
        <w:t xml:space="preserve">Weise erreicht werden kann.</w:t>
      </w:r>
    </w:p>
    <w:p>
      <w:r>
        <w:t xml:space="preserve">(4)</w:t>
      </w:r>
    </w:p>
    <w:p>
      <w:r>
        <w:t xml:space="preserve">Gegen andere Personen als Arrestierte darf unmittelbarer Zwang angewendet</w:t>
      </w:r>
    </w:p>
    <w:p>
      <w:r>
        <w:t xml:space="preserve">werden, wenn sie es unternehmen, Arrestierte zu befreien oder widerrechtlich in</w:t>
      </w:r>
    </w:p>
    <w:p>
      <w:r>
        <w:t xml:space="preserve">die Anstalt einzudringen, oder wenn sie sich unbefugt darin aufhalten.</w:t>
      </w:r>
    </w:p>
    <w:p>
      <w:r>
        <w:t xml:space="preserve">(5)</w:t>
      </w:r>
    </w:p>
    <w:p>
      <w:r>
        <w:t xml:space="preserve">Das Recht zu unmittelbarem Zwang aufgrund anderer Regelungen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28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BbgJAVollzG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