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BbgJAVollzG (Brandenburg) — Ziel des Arrestes</w:t>
      </w:r>
    </w:p>
    <w:p>
      <w:r>
        <w:rPr>
          <w:color w:val="555555"/>
          <w:sz w:val="18"/>
        </w:rPr>
        <w:t xml:space="preserve">Brandenburgisches Jugendarrestvollzugsgesetz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Arrest dient dem Ziel, den Arrestierten das von ihnen begangene Unrecht und</w:t>
      </w:r>
    </w:p>
    <w:p>
      <w:r>
        <w:t xml:space="preserve">ihre Verantwortung hierfür bewusst zu machen und ihnen Hilfen für eine</w:t>
      </w:r>
    </w:p>
    <w:p>
      <w:r>
        <w:t xml:space="preserve">Lebensführung ohne Straftaten aufzuzeigen und zu vermitteln.</w:t>
      </w:r>
    </w:p>
    <w:p>
      <w:r>
        <w:rPr>
          <w:color w:val="555555"/>
          <w:sz w:val="17"/>
        </w:rPr>
        <w:t xml:space="preserve">Zitiervorschlag: § 2 BbgJAVollzG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https://recht.nulegal.eu/gesetze/BbgJAVollzG/2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BbgJAVollzG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