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BbgJAO (Brandenburg) — Lehrveranstaltungen</w:t>
      </w:r>
    </w:p>
    <w:p>
      <w:r>
        <w:rPr>
          <w:color w:val="555555"/>
          <w:sz w:val="18"/>
        </w:rPr>
        <w:t xml:space="preserve">Brandenburgische Juristenausbildungsordnung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Universitäten bieten neben Lehrveranstaltungen in den Pflichtfächern und in den Schwerpunktbereichen auch Veranstaltungen zur Vermittlung von Schlüsselqualifikationen (§ 5a Abs. 3 Satz 1 des Deutschen Richtergesetzes) und fremdsprachige rechtswissenschaftliche Veranstaltungen oder rechtswissenschaftlich ausgerichtete Sprachkurse (§ 5a Abs. 2 Satz 2 des Deutschen Richtergesetzes) an.</w:t>
      </w:r>
    </w:p>
    <w:p>
      <w:r>
        <w:rPr>
          <w:color w:val="555555"/>
          <w:sz w:val="17"/>
        </w:rPr>
        <w:t xml:space="preserve">Zitiervorschlag: § 1 BbgJAO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https://recht.nulegal.eu/gesetze/BbgJAO/1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