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BbgJAG (Brandenburg) — Bewertung der Prüfungsleistungen</w:t>
      </w:r>
    </w:p>
    <w:p>
      <w:r>
        <w:rPr>
          <w:color w:val="555555"/>
          <w:sz w:val="18"/>
        </w:rPr>
        <w:t xml:space="preserve">Brandenburgisches Juristenausbildungsgesetz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die Bewertung der einzelnen Prüfungsleistungen und für die Bildung der Noten der staatlichen Pflichtfachprüfung, der universitären Schwerpunktbereichsprüfung und der ersten juristischen Prüfung gilt die Verordnung über eine Noten- und Punkteskala für die erste und zweite juristische Prüfung vom 3. Dezember 1981 ( BGBl. I S. 1243) in der jeweils geltenden Fassung.</w:t>
      </w:r>
    </w:p>
    <w:p>
      <w:r>
        <w:rPr>
          <w:color w:val="555555"/>
          <w:sz w:val="17"/>
        </w:rPr>
        <w:t xml:space="preserve">Zitiervorschlag: § 9 BbgJAG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