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BbgJAG (Brandenburg) — Sprachliche Gleichbehandlung</w:t>
      </w:r>
    </w:p>
    <w:p>
      <w:r>
        <w:rPr>
          <w:color w:val="555555"/>
          <w:sz w:val="18"/>
        </w:rPr>
        <w:t xml:space="preserve">Brandenburgisches Juristenausbildungsgesetz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Alle Personen-, Amts- und Funktionsbezeichnungen, die in diesem Gesetz Verwendung finden, gelten sowohl in der weiblichen als auch in der männlichen Sprachform.</w:t>
      </w:r>
    </w:p>
    <w:p>
      <w:r>
        <w:rPr>
          <w:color w:val="555555"/>
          <w:sz w:val="17"/>
        </w:rPr>
        <w:t xml:space="preserve">Zitiervorschlag: § 26 BbgJAG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BbgJAG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