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BbgJAG (Brandenburg) — Rechtswirkung der Prüfung</w:t>
      </w:r>
    </w:p>
    <w:p>
      <w:r>
        <w:rPr>
          <w:color w:val="555555"/>
          <w:sz w:val="18"/>
        </w:rPr>
        <w:t xml:space="preserve">Brandenburgisches Juristenausbildungsgesetz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Wer die zweite juristische Staatsprüfung bestanden hat, besitzt die Befähigung zum Richteramt und zum höheren allgemeinen Verwaltungsdienst. Er ist berechtigt, die Bezeichnung „Rechtsassessorin (Ass. jur.)“ oder „Rechtsassessor (Ass. jur.)“ zu führen.</w:t>
      </w:r>
    </w:p>
    <w:p>
      <w:r>
        <w:rPr>
          <w:color w:val="555555"/>
          <w:sz w:val="17"/>
        </w:rPr>
        <w:t xml:space="preserve">Zitiervorschlag: § 18 BbgJAG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https://recht.nulegal.eu/gesetze/BbgJAG/18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