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BbgJAG (Brandenburg) — Entlassung aus dem Vorbereitungsdienst</w:t>
      </w:r>
    </w:p>
    <w:p>
      <w:r>
        <w:rPr>
          <w:color w:val="555555"/>
          <w:sz w:val="18"/>
        </w:rPr>
        <w:t xml:space="preserve">Brandenburgisches Juristenausbildungsgesetz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Der Rechtsreferendar ist zu entlassen, wenn die Entlassung verlangt wird. In diesem Fall soll eine Wiedereinstellung nicht vor Ablauf von zwölf Monaten erfolgen.</w:t>
      </w:r>
    </w:p>
    <w:p>
      <w:r>
        <w:t xml:space="preserve">(2) Der Rechtsreferendar kann entlassen werden, wenn ein wichtiger Grund vorliegt. Ein wichtiger Grund liegt insbesondere vor, wenn</w:t>
      </w:r>
    </w:p>
    <w:p>
      <w:r>
        <w:t xml:space="preserve">er dienstunfähig im Sinne des § 26 des Beamtenstatusgesetzes ist;</w:t>
      </w:r>
    </w:p>
    <w:p>
      <w:r>
        <w:t xml:space="preserve">die Voraussetzungen des § 24 des Beamtenstatusgesetzes vorliegen;</w:t>
      </w:r>
    </w:p>
    <w:p>
      <w:r>
        <w:t xml:space="preserve">er seine Pflichten aus dem Ausbildungsverhältnis in grober Weise verletzt;</w:t>
      </w:r>
    </w:p>
    <w:p>
      <w:r>
        <w:t xml:space="preserve">er sich in der Ausbildung sonst als ungeeignet erweist, den Vorbereitungsdienst fortzusetzen.</w:t>
      </w:r>
    </w:p>
    <w:p>
      <w:r>
        <w:t xml:space="preserve">(3) Die Entscheidung trifft die Ausbildungsbehörde. Der Vorbereitungsdienst endet mit Ablauf des Monats, in dem die Entscheidung über die Entlassung bekannt gegeben wird.</w:t>
      </w:r>
    </w:p>
    <w:p>
      <w:r>
        <w:rPr>
          <w:color w:val="555555"/>
          <w:sz w:val="17"/>
        </w:rPr>
        <w:t xml:space="preserve">Zitiervorschlag: § 15 BbgJAG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https://recht.nulegal.eu/gesetze/BbgJAG/15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