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34 BbgIngG (Brandenburg) — Rechtsverordnungen</w:t>
      </w:r>
    </w:p>
    <w:p>
      <w:r>
        <w:rPr>
          <w:color w:val="555555"/>
          <w:sz w:val="18"/>
        </w:rPr>
        <w:t xml:space="preserve">Brandenburgisches Ingenieurgesetz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Das für das Ingenieurrecht zuständige Mitglied der Landesregierung wird ermächtigt, durch Rechtsverordnung die zur Durchführung dieses Gesetzes notwendigen Vorschriften zu erlassen über</w:t>
      </w:r>
    </w:p>
    <w:p>
      <w:r>
        <w:t xml:space="preserve">die Leitlinien für Ausbildungsinhalte als Grundlage für das Führen der Berufsbezeichnungen „Ingenieurin“ oder „Ingenieur“, die auch die Zahl der zu erwerbenden ECTS-Leistungspunkte und den Anteil der Studieninhalte festlegen können, die den Bereichen Mathematik, Informatik, Naturwissenschaft und Technik zugeordnet werden,</w:t>
      </w:r>
    </w:p>
    <w:p>
      <w:r>
        <w:t xml:space="preserve">die Verfahren vor dem Eintragungsausschuss sowie die für die Eintragung in die in diesem Gesetz genannten Listen und Verzeichnisse vorzulegenden oder anzuerkennenden Nachweise,</w:t>
      </w:r>
    </w:p>
    <w:p>
      <w:r>
        <w:t xml:space="preserve">den Inhalt und das Verfahren der Ausstellung Europäischer Berufsausweise einschließlich der Erstellung von und des Umgangs mit Dateien im Rahmen des EU-Binnenmarktinformationssystems (IMI-Dateien) im Sinne des Artikels 4a Absatz 5 der Richtlinie 2005/36/EG,</w:t>
      </w:r>
    </w:p>
    <w:p>
      <w:r>
        <w:t xml:space="preserve">die inhaltliche Gestaltung und Umsetzung des gemeinsamen Ausbildungsrahmens nach Artikel 49a der Richtlinie 2005/36/EG,</w:t>
      </w:r>
    </w:p>
    <w:p>
      <w:r>
        <w:t xml:space="preserve">die Gestaltung und Durchführung von gemeinsamen Ausbildungsprüfungen nach Artikel 49b der Richtlinie 2005/36/EG und</w:t>
      </w:r>
    </w:p>
    <w:p>
      <w:r>
        <w:t xml:space="preserve">von der Ingenieurkammer zur zweckentsprechenden Durchführung dieses Gesetzes oder nach dem Recht der Europäischen Union wahrzunehmende weitere Aufgaben.</w:t>
      </w:r>
    </w:p>
    <w:p>
      <w:r>
        <w:t xml:space="preserve">Für Rechtsverordnungen gemäß Satz 1 Nummer 1 ist das Benehmen mit dem für Hochschulen zuständigen Mitglied der Landesregierung herzustellen, die Hochschulen sind bei der Erarbeitung von Rechtsverordnungen nach Satz 1 Nummer 1 zu beteiligen.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34 BbgIngG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https://recht.nulegal.eu/gesetze/BbgIngG/34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