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BbgIngG (Brandenburg) — Rügerecht des Vorstandes</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Vorstand kann das Verhalten eines Kammermitglieds, durch das die ihm obliegenden Berufspflichten verletzt wurden, rügen, wenn die Schuld gering ist und ein Antrag auf Einleitung eines Ehrenverfahrens nicht erforderlich erscheint. Ingenieurinnen oder Ingenieure im öffentlichen Dienst unterliegen hinsichtlich ihrer dienstlichen Tätigkeit nicht dem Rügerecht.</w:t>
      </w:r>
    </w:p>
    <w:p>
      <w:r>
        <w:t xml:space="preserve">(2) Das Rügerecht erlischt, sobald das Ehrenverfahren gegen das Mitglied eingeleitet ist. § 29 Absatz 3 gilt entsprechend.</w:t>
      </w:r>
    </w:p>
    <w:p>
      <w:r>
        <w:t xml:space="preserve">(3) Bevor die Rüge erteilt wird, ist das Mitglied zu hören.</w:t>
      </w:r>
    </w:p>
    <w:p>
      <w:r>
        <w:t xml:space="preserve">(4) Der Bescheid, durch den das Verhalten des Mitglieds gerügt wird, ist zu begründen. Er ist dem Mitglied mit Rechtsbehelfsbelehrung zuzustellen. Eine Zweitschrift des Bescheids ist der Aufsichtsbehörde zu übersenden.</w:t>
      </w:r>
    </w:p>
    <w:p>
      <w:r>
        <w:t xml:space="preserve">(5) Gegen den Bescheid kann das Mitglied innerhalb eines Monats nach der Zustellung bei dem Vorstand Einspruch erheben. Über den Einspruch entscheidet der Vorstand. Absatz 4 ist entsprechend anzuwenden. Wird der Einspruch zurückgewiesen, so kann das Mitglied binnen eines Monats nach der Zustellung beim Ehrenausschuss beantragen, dass ein Ehrenverfahren eingeleitet wird.</w:t>
      </w:r>
    </w:p>
    <w:p>
      <w:r>
        <w:t xml:space="preserve">(6) Ein Ehrenverfahren kann auch dann eingeleitet werden, wenn wegen desselben Verhaltens bereits eine Rüge erteilt wurde. Jedoch kann der Vorstand der Ingenieurkammer die Einleitung des Ehrenverfahrens nur noch beantragen, wenn nach Erteilung der Rüge neue Tatsachen oder Beweismittel bekannt geworden sind, die die Berufspflichtverletzung als durch eine Rüge nicht genügend geahndet erscheinen lassen. Der Antrag kann nur innerhalb eines Jahres nach Erteilung der Rüge gestellt werden. Die Rüge wird mit Rechtskraft der Entscheidung des Ehrenausschusses gegenstandslos. Hält der Ehrenausschuss die Durchführung eines Ehrenverfahrens nur wegen Geringfügigkeit der erhobenen Beschuldigung nicht für erforderlich oder stellt er wegen der Geringfügigkeit der Berufspflichtverletzung das Verfahren ein, so hat er in seinem Beschluss die Rüge aufrechtzuerhalten, wenn die Nachprüfung ergibt, dass sie zu Recht erteilt wurde.</w:t>
      </w:r>
    </w:p>
    <w:p>
      <w:r>
        <w:t xml:space="preserve">Einzelnorm</w:t>
      </w:r>
    </w:p>
    <w:p>
      <w:r>
        <w:rPr>
          <w:color w:val="555555"/>
          <w:sz w:val="17"/>
        </w:rPr>
        <w:t xml:space="preserve">Zitiervorschlag: § 26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