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BbgIngG (Brandenburg) — Hauptsatzung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Hauptsatzung muss Bestimmungen enthalten über</w:t>
      </w:r>
    </w:p>
    <w:p>
      <w:r>
        <w:t xml:space="preserve">die Rechte der Kammermitglieder und Anwärter und die Pflichten, die sich aus der Zugehörigkeit zur Ingenieurkammer ergeben,</w:t>
      </w:r>
    </w:p>
    <w:p>
      <w:r>
        <w:t xml:space="preserve">die Einberufung und die Geschäftsordnung der Vertreterversammlung der Ingenieurkammer,</w:t>
      </w:r>
    </w:p>
    <w:p>
      <w:r>
        <w:t xml:space="preserve">die Zusammensetzung des Vorstandes der Ingenieurkammer sowie die Wahl und die Abwahl von dessen Mitgliedern,</w:t>
      </w:r>
    </w:p>
    <w:p>
      <w:r>
        <w:t xml:space="preserve">die Geschäftsführung und die Verwaltungseinrichtungen der Ingenieurkammer,</w:t>
      </w:r>
    </w:p>
    <w:p>
      <w:r>
        <w:t xml:space="preserve">die Zusammensetzung der Ausschüsse der Ingenieurkammer, falls solche gebildet werden, sowie die Wahl und die Abwahl von deren Mitgliedern,</w:t>
      </w:r>
    </w:p>
    <w:p>
      <w:r>
        <w:t xml:space="preserve">die Bildung örtlicher und fachlicher Untergliederungen und</w:t>
      </w:r>
    </w:p>
    <w:p>
      <w:r>
        <w:t xml:space="preserve">die Form und die Art der Bekanntmachungen.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