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BbgIngG (Brandenburg) — Brandenburgische Ingenieurkammer</w:t>
      </w:r>
    </w:p>
    <w:p>
      <w:r>
        <w:rPr>
          <w:color w:val="555555"/>
          <w:sz w:val="18"/>
        </w:rPr>
        <w:t xml:space="preserve">Brandenburgisches Ingenieurgesetz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in die Ingenieurliste eingetragenen Ingenieurinnen und Ingenieure bilden als Mitglieder die Brandenburgische Ingenieurkammer (Ingenieurkammer).</w:t>
      </w:r>
    </w:p>
    <w:p>
      <w:r>
        <w:t xml:space="preserve">(2) Als Anwärterin oder Anwärter werden die Personen in ein besonderes Verzeichnis eingetragen, die im Sinne des § 1 Absatz 1 Nummer 1</w:t>
      </w:r>
    </w:p>
    <w:p>
      <w:r>
        <w:t xml:space="preserve">einen berufsqualifizierenden Hochschulabschluss anstreben und eine entsprechende Studiendauer von mindestens zwei Jahren nachweisen oder</w:t>
      </w:r>
    </w:p>
    <w:p>
      <w:r>
        <w:t xml:space="preserve">einen berufsqualifizierenden Hochschulabschluss nachweisen und die zweijährige praktische Tätigkeit ausüben.</w:t>
      </w:r>
    </w:p>
    <w:p>
      <w:r>
        <w:t xml:space="preserve">(3) Die Ingenieurkammer ist eine Körperschaft des öffentlichen Rechts. Sie führt ein Dienstsiegel.</w:t>
      </w:r>
    </w:p>
    <w:p>
      <w:r>
        <w:t xml:space="preserve">(4) Sitz der Ingenieurkammer ist Potsdam. Die Ingenieurkammer kann durch Satzung Fachgruppen und örtliche Untergliederungen bilden.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11 BbgIngG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https://recht.nulegal.eu/gesetze/BbgIngG/11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