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BbgIGVDGZV (Brandenburg) — Ordnungswidrigkeiten</w:t>
      </w:r>
    </w:p>
    <w:p>
      <w:r>
        <w:rPr>
          <w:color w:val="555555"/>
          <w:sz w:val="18"/>
        </w:rPr>
        <w:t xml:space="preserve">Brandenburgische Verordnung über die Zuständigkeiten nach dem IGV-Durchführungsgesetz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sachliche Zuständigkeit für die Verfolgung und Ahndung von Ordnungswidrigkeiten nach § 21 Absatz 1 Nummer 1 Alternative 1 des IGV-Durchführungsgesetzes, soweit Pflichten des Flughafenunternehmers betroffen sind, nach § 21 Absatz 1 Nummer 2 und 5 Alternative 1 sowie Nummer 9 des IGV-Durchführungsgesetzes wird den Landkreisen und kreisfreien Städten übertragen.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BbgIGVDGZV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https://recht.nulegal.eu/gesetze/BbgIGVDGZV/4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