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BbgHintG (Brandenburg) — Kosten</w:t>
      </w:r>
    </w:p>
    <w:p>
      <w:r>
        <w:rPr>
          <w:color w:val="555555"/>
          <w:sz w:val="18"/>
        </w:rPr>
        <w:t xml:space="preserve">Brandenburgisches Hinterlegungsgesetz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Kosten werden bei der Hinterlegungsstelle angesetzt.</w:t>
      </w:r>
    </w:p>
    <w:p>
      <w:r>
        <w:t xml:space="preserve">(2) Zuständig für Entscheidungen nach § 22 des Justizverwaltungskostengesetzes ist das Amtsgericht, bei dem die Hinterlegungsstelle eingerichtet ist. Das Gleiche gilt für Einwendungen gegen Maßnahmen nach Absatz 3 Nummer 2 und 3.</w:t>
      </w:r>
    </w:p>
    <w:p>
      <w:r>
        <w:t xml:space="preserve">(3) Im Übrigen gilt für die Kosten Folgendes:</w:t>
      </w:r>
    </w:p>
    <w:p>
      <w:r>
        <w:t xml:space="preserve">Zur Zahlung der Kosten ist auch die empfangsberechtigte Person, an die oder für deren Rechnung die Herausgabe verfügt wurde, sowie diejenige Person verpflichtet, in deren Interesse eine Behörde um die Hinterlegung ersucht hat.</w:t>
      </w:r>
    </w:p>
    <w:p>
      <w:r>
        <w:t xml:space="preserve">Die Kosten können der Masse entnommen werden, soweit es sich um Geld handelt, das in das Eigentum des Landes übergegangen ist.</w:t>
      </w:r>
    </w:p>
    <w:p>
      <w:r>
        <w:t xml:space="preserve">Die Herausgabe hinterlegter Sachen kann von der Zahlung der Kosten abhängig gemacht werden.</w:t>
      </w:r>
    </w:p>
    <w:p>
      <w:r>
        <w:t xml:space="preserve">Die Nummern 1 bis 3 sind auf Kosten, die für das Verfahren über Beschwerden erhoben werden, nur anzuwenden, soweit diejenige Person, der die Kosten dieses Verfahrens auferlegt worden sind, empfangsberechtigt ist.</w:t>
      </w:r>
    </w:p>
    <w:p>
      <w:r>
        <w:t xml:space="preserve">Kosten sind nicht zu erheben oder sind, falls sie erhoben wurden, zu erstatten, wenn die Hinterlegung aufgrund der §§ 116 und 116a der Strafprozessordnung erfolgte, um eine beschuldigte Person von der Untersuchungshaft zu verschonen, und die beschuldigte Person rechtskräftig außer Verfolgung gesetzt oder freigesprochen oder das Verfahren gegen sie eingestellt wird; ist der Verfall der Sicherheit rechtskräftig ausgesprochen worden, so werden bereits erhobene Kosten nicht erstattet.</w:t>
      </w:r>
    </w:p>
    <w:p>
      <w:r>
        <w:t xml:space="preserve">Ist bei Vormundschaften sowie bei Betreuungen, Pflegschaften für Minderjährige und in den Fällen des § 1667 des Bürgerlichen Gesetzbuches aufgrund gesetzlicher Verpflichtung oder Anordnung des Betreuungs- oder Familiengerichts hinterlegt, gilt die Vorbemerkung 1.1 Absatz 1 des Kostenverzeichnisses zum Gerichts- und Notarkostengesetz entsprechend. Die Verjährung des Anspruchs auf Zahlung der Kosten hindert das Land nicht, nach den Nummern 2 und 3 zu verfahren.</w:t>
      </w:r>
    </w:p>
    <w:p>
      <w:r>
        <w:t xml:space="preserve">§ 4 Absatz 3 des Justizverwaltungskostengesetzes findet keine Anwendung.</w:t>
      </w:r>
    </w:p>
    <w:p>
      <w:r>
        <w:rPr>
          <w:color w:val="555555"/>
          <w:sz w:val="17"/>
        </w:rPr>
        <w:t xml:space="preserve">Zitiervorschlag: § 34 BbgHintG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https://recht.nulegal.eu/gesetze/BbgHintG/34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