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 BbgHintG (Brandenburg) — Auslagen</w:t>
      </w:r>
    </w:p>
    <w:p>
      <w:r>
        <w:rPr>
          <w:color w:val="555555"/>
          <w:sz w:val="18"/>
        </w:rPr>
        <w:t xml:space="preserve">Brandenburgisches Hinterlegungsgesetz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Neben den Auslagen nach dem Justizverwaltungskostengesetz werden als Auslagen erhoben:</w:t>
      </w:r>
    </w:p>
    <w:p>
      <w:r>
        <w:t xml:space="preserve">die Beträge, die bei der Umwechslung von Zahlungsmitteln nach § 11 Absatz 2 Satz 2 oder bei der Vornahme von Geschäften nach § 13 an Banken oder an andere Stellen zu zahlen sind,</w:t>
      </w:r>
    </w:p>
    <w:p>
      <w:r>
        <w:t xml:space="preserve">Dokumentenpauschalen für Abschriften, die anzufertigen sind, weil ein Antrag auf Annahme nicht in der erforderlichen Anzahl gemäß § 8 Absatz 1 Satz 1 vorgelegt worden ist,</w:t>
      </w:r>
    </w:p>
    <w:p>
      <w:r>
        <w:t xml:space="preserve">sonstige Auslagen nach den Nummern 31001 bis 31006, 31008, 31009, 31013 und 31014 des Kostenverzeichnisses zum Gerichts- und Notarkostengesetz.</w:t>
      </w:r>
    </w:p>
    <w:p>
      <w:r>
        <w:rPr>
          <w:color w:val="555555"/>
          <w:sz w:val="17"/>
        </w:rPr>
        <w:t xml:space="preserve">Zitiervorschlag: § 33 BbgHintG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https://recht.nulegal.eu/gesetze/BbgHintG/33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